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_GBK" w:hAnsi="方正小标宋_GBK" w:eastAsia="方正小标宋_GBK" w:cs="方正小标宋_GBK"/>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_GBK" w:hAnsi="方正小标宋_GBK" w:eastAsia="方正小标宋_GBK" w:cs="方正小标宋_GBK"/>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_GBK" w:hAnsi="方正小标宋_GBK" w:eastAsia="方正小标宋_GBK" w:cs="方正小标宋_GBK"/>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_GBK" w:hAnsi="方正小标宋_GBK" w:eastAsia="方正小标宋_GBK" w:cs="方正小标宋_GBK"/>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黄山</w:t>
      </w:r>
      <w:r>
        <w:rPr>
          <w:rFonts w:hint="eastAsia" w:ascii="方正小标宋_GBK" w:hAnsi="方正小标宋_GBK" w:eastAsia="方正小标宋_GBK" w:cs="方正小标宋_GBK"/>
          <w:sz w:val="44"/>
          <w:szCs w:val="44"/>
        </w:rPr>
        <w:t>市</w:t>
      </w:r>
      <w:r>
        <w:rPr>
          <w:rFonts w:hint="eastAsia" w:ascii="方正小标宋_GBK" w:hAnsi="方正小标宋_GBK" w:eastAsia="方正小标宋_GBK" w:cs="方正小标宋_GBK"/>
          <w:sz w:val="44"/>
          <w:szCs w:val="44"/>
          <w:lang w:val="en-US" w:eastAsia="zh-CN"/>
        </w:rPr>
        <w:t>城乡义务教育补助经费</w:t>
      </w:r>
      <w:r>
        <w:rPr>
          <w:rFonts w:hint="eastAsia" w:ascii="方正小标宋_GBK" w:hAnsi="方正小标宋_GBK" w:eastAsia="方正小标宋_GBK" w:cs="方正小标宋_GBK"/>
          <w:sz w:val="44"/>
          <w:szCs w:val="44"/>
        </w:rPr>
        <w:t>转移支付202</w:t>
      </w:r>
      <w:r>
        <w:rPr>
          <w:rFonts w:hint="eastAsia" w:ascii="方正小标宋_GBK" w:hAnsi="方正小标宋_GBK" w:eastAsia="方正小标宋_GBK" w:cs="方正小标宋_GBK"/>
          <w:sz w:val="44"/>
          <w:szCs w:val="44"/>
          <w:lang w:val="en-US" w:eastAsia="zh-CN"/>
        </w:rPr>
        <w:t>4</w:t>
      </w:r>
      <w:r>
        <w:rPr>
          <w:rFonts w:hint="eastAsia" w:ascii="方正小标宋_GBK" w:hAnsi="方正小标宋_GBK" w:eastAsia="方正小标宋_GBK" w:cs="方正小标宋_GBK"/>
          <w:sz w:val="44"/>
          <w:szCs w:val="44"/>
        </w:rPr>
        <w:t>年度绩效自评报告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一、绩效目标分解下达情况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一）中央资金下达情况。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bookmarkStart w:id="0" w:name="OLE_LINK1"/>
      <w:r>
        <w:rPr>
          <w:rFonts w:hint="eastAsia" w:ascii="仿宋_GB2312" w:hAnsi="仿宋_GB2312" w:eastAsia="仿宋_GB2312" w:cs="仿宋_GB2312"/>
          <w:sz w:val="32"/>
          <w:szCs w:val="32"/>
        </w:rPr>
        <w:t>根据安徽财政厅、安徽省教育厅《关于下达2024年城乡义务教育补助经费预算的通知》（皖财教〔2024〕438号），202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年下达我市</w:t>
      </w:r>
      <w:r>
        <w:rPr>
          <w:rFonts w:hint="eastAsia" w:ascii="仿宋_GB2312" w:hAnsi="仿宋_GB2312" w:eastAsia="仿宋_GB2312" w:cs="仿宋_GB2312"/>
          <w:sz w:val="32"/>
          <w:szCs w:val="32"/>
          <w:lang w:val="en-US" w:eastAsia="zh-CN"/>
        </w:rPr>
        <w:t>中央资金9292.8</w:t>
      </w:r>
      <w:r>
        <w:rPr>
          <w:rFonts w:hint="eastAsia" w:ascii="仿宋_GB2312" w:hAnsi="仿宋_GB2312" w:eastAsia="仿宋_GB2312" w:cs="仿宋_GB2312"/>
          <w:sz w:val="32"/>
          <w:szCs w:val="32"/>
        </w:rPr>
        <w:t>万元，其中公用经费</w:t>
      </w:r>
      <w:r>
        <w:rPr>
          <w:rFonts w:hint="eastAsia" w:ascii="仿宋_GB2312" w:hAnsi="仿宋_GB2312" w:eastAsia="仿宋_GB2312" w:cs="仿宋_GB2312"/>
          <w:sz w:val="32"/>
          <w:szCs w:val="32"/>
          <w:lang w:val="en-US" w:eastAsia="zh-CN"/>
        </w:rPr>
        <w:t>7143.7</w:t>
      </w:r>
      <w:r>
        <w:rPr>
          <w:rFonts w:hint="eastAsia" w:ascii="仿宋_GB2312" w:hAnsi="仿宋_GB2312" w:eastAsia="仿宋_GB2312" w:cs="仿宋_GB2312"/>
          <w:sz w:val="32"/>
          <w:szCs w:val="32"/>
        </w:rPr>
        <w:t>万元，家庭经济困难学生生活补助资金330.3万元，校舍安全保障长效机制补助资金</w:t>
      </w:r>
      <w:r>
        <w:rPr>
          <w:rFonts w:hint="eastAsia" w:ascii="仿宋_GB2312" w:hAnsi="仿宋_GB2312" w:eastAsia="仿宋_GB2312" w:cs="仿宋_GB2312"/>
          <w:sz w:val="32"/>
          <w:szCs w:val="32"/>
          <w:lang w:val="en-US" w:eastAsia="zh-CN"/>
        </w:rPr>
        <w:t>1378.8</w:t>
      </w:r>
      <w:r>
        <w:rPr>
          <w:rFonts w:hint="eastAsia" w:ascii="仿宋_GB2312" w:hAnsi="仿宋_GB2312" w:eastAsia="仿宋_GB2312" w:cs="仿宋_GB2312"/>
          <w:sz w:val="32"/>
          <w:szCs w:val="32"/>
        </w:rPr>
        <w:t>万元，综合奖补资金326.4万元，营养改善计划113.6万元，资金全部</w:t>
      </w:r>
      <w:r>
        <w:rPr>
          <w:rFonts w:hint="eastAsia" w:ascii="仿宋_GB2312" w:hAnsi="仿宋_GB2312" w:eastAsia="仿宋_GB2312" w:cs="仿宋_GB2312"/>
          <w:sz w:val="32"/>
          <w:szCs w:val="32"/>
          <w:lang w:val="en-US" w:eastAsia="zh-CN"/>
        </w:rPr>
        <w:t>拨付</w:t>
      </w:r>
      <w:r>
        <w:rPr>
          <w:rFonts w:hint="eastAsia" w:ascii="仿宋_GB2312" w:hAnsi="仿宋_GB2312" w:eastAsia="仿宋_GB2312" w:cs="仿宋_GB2312"/>
          <w:sz w:val="32"/>
          <w:szCs w:val="32"/>
        </w:rPr>
        <w:t>落实到位。</w:t>
      </w:r>
    </w:p>
    <w:bookmarkEnd w:id="0"/>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二)省级资金下达情况。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根据安徽财政厅、安徽省教育厅《关于下达2024年城乡义务教育补助经费预算的通知》（皖财教〔2024〕438号），202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年下达我市</w:t>
      </w:r>
      <w:r>
        <w:rPr>
          <w:rFonts w:hint="eastAsia" w:ascii="仿宋_GB2312" w:hAnsi="仿宋_GB2312" w:eastAsia="仿宋_GB2312" w:cs="仿宋_GB2312"/>
          <w:sz w:val="32"/>
          <w:szCs w:val="32"/>
          <w:lang w:val="en-US" w:eastAsia="zh-CN"/>
        </w:rPr>
        <w:t>中央资金3638.1</w:t>
      </w:r>
      <w:r>
        <w:rPr>
          <w:rFonts w:hint="eastAsia" w:ascii="仿宋_GB2312" w:hAnsi="仿宋_GB2312" w:eastAsia="仿宋_GB2312" w:cs="仿宋_GB2312"/>
          <w:sz w:val="32"/>
          <w:szCs w:val="32"/>
        </w:rPr>
        <w:t>万元，其中公用经费</w:t>
      </w:r>
      <w:r>
        <w:rPr>
          <w:rFonts w:hint="eastAsia" w:ascii="仿宋_GB2312" w:hAnsi="仿宋_GB2312" w:eastAsia="仿宋_GB2312" w:cs="仿宋_GB2312"/>
          <w:sz w:val="32"/>
          <w:szCs w:val="32"/>
          <w:lang w:val="en-US" w:eastAsia="zh-CN"/>
        </w:rPr>
        <w:t>2719.6</w:t>
      </w:r>
      <w:r>
        <w:rPr>
          <w:rFonts w:hint="eastAsia" w:ascii="仿宋_GB2312" w:hAnsi="仿宋_GB2312" w:eastAsia="仿宋_GB2312" w:cs="仿宋_GB2312"/>
          <w:sz w:val="32"/>
          <w:szCs w:val="32"/>
        </w:rPr>
        <w:t>万元，校舍安全保障长效机制补助资金</w:t>
      </w:r>
      <w:r>
        <w:rPr>
          <w:rFonts w:hint="eastAsia" w:ascii="仿宋_GB2312" w:hAnsi="仿宋_GB2312" w:eastAsia="仿宋_GB2312" w:cs="仿宋_GB2312"/>
          <w:sz w:val="32"/>
          <w:szCs w:val="32"/>
          <w:lang w:val="en-US" w:eastAsia="zh-CN"/>
        </w:rPr>
        <w:t>918.5</w:t>
      </w:r>
      <w:r>
        <w:rPr>
          <w:rFonts w:hint="eastAsia" w:ascii="仿宋_GB2312" w:hAnsi="仿宋_GB2312" w:eastAsia="仿宋_GB2312" w:cs="仿宋_GB2312"/>
          <w:sz w:val="32"/>
          <w:szCs w:val="32"/>
        </w:rPr>
        <w:t>万元，资金全部</w:t>
      </w:r>
      <w:r>
        <w:rPr>
          <w:rFonts w:hint="eastAsia" w:ascii="仿宋_GB2312" w:hAnsi="仿宋_GB2312" w:eastAsia="仿宋_GB2312" w:cs="仿宋_GB2312"/>
          <w:sz w:val="32"/>
          <w:szCs w:val="32"/>
          <w:lang w:val="en-US" w:eastAsia="zh-CN"/>
        </w:rPr>
        <w:t>拨付</w:t>
      </w:r>
      <w:r>
        <w:rPr>
          <w:rFonts w:hint="eastAsia" w:ascii="仿宋_GB2312" w:hAnsi="仿宋_GB2312" w:eastAsia="仿宋_GB2312" w:cs="仿宋_GB2312"/>
          <w:sz w:val="32"/>
          <w:szCs w:val="32"/>
        </w:rPr>
        <w:t>落实到位。</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三）我市投入资金情况。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2024年我市地方财政投入共</w:t>
      </w:r>
      <w:r>
        <w:rPr>
          <w:rFonts w:hint="eastAsia" w:ascii="仿宋_GB2312" w:hAnsi="仿宋_GB2312" w:eastAsia="仿宋_GB2312" w:cs="仿宋_GB2312"/>
          <w:sz w:val="32"/>
          <w:szCs w:val="32"/>
          <w:lang w:val="en-US" w:eastAsia="zh-CN"/>
        </w:rPr>
        <w:t>2798.18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用于</w:t>
      </w:r>
      <w:r>
        <w:rPr>
          <w:rFonts w:hint="eastAsia" w:ascii="仿宋_GB2312" w:hAnsi="仿宋_GB2312" w:eastAsia="仿宋_GB2312" w:cs="仿宋_GB2312"/>
          <w:sz w:val="32"/>
          <w:szCs w:val="32"/>
        </w:rPr>
        <w:t>公用经费</w:t>
      </w:r>
      <w:r>
        <w:rPr>
          <w:rFonts w:hint="eastAsia" w:ascii="仿宋_GB2312" w:hAnsi="仿宋_GB2312" w:eastAsia="仿宋_GB2312" w:cs="仿宋_GB2312"/>
          <w:sz w:val="32"/>
          <w:szCs w:val="32"/>
          <w:lang w:val="en-US" w:eastAsia="zh-CN"/>
        </w:rPr>
        <w:t>配套，</w:t>
      </w:r>
      <w:r>
        <w:rPr>
          <w:rFonts w:hint="eastAsia" w:ascii="仿宋_GB2312" w:hAnsi="仿宋_GB2312" w:eastAsia="仿宋_GB2312" w:cs="仿宋_GB2312"/>
          <w:sz w:val="32"/>
          <w:szCs w:val="32"/>
        </w:rPr>
        <w:t>家庭经济困难补助</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四）绩效目标情况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落实城乡统一、重在农村的义务教育经费保障机制。实施农村义务教育学生营养改善计划。</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二、绩效情况分析</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rPr>
        <w:t>资金投入情况分析。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分析资金投入及执行情况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2024年我市城乡义务教育补助经费预算数15740.33万元，执行数15423.13万元，执行率97.98%。</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eastAsia="zh-CN"/>
        </w:rPr>
        <w:t>（二）资金管理情况分析。</w:t>
      </w:r>
      <w:r>
        <w:rPr>
          <w:rFonts w:hint="eastAsia" w:ascii="仿宋_GB2312" w:hAnsi="仿宋_GB2312" w:eastAsia="仿宋_GB2312" w:cs="仿宋_GB2312"/>
          <w:sz w:val="32"/>
          <w:szCs w:val="32"/>
          <w:lang w:eastAsia="zh-CN"/>
        </w:rPr>
        <w:t>我市各级财政与教育部门密切配合，遵循“城乡统一、重在农村，统筹安排、突出重点，客观公正、规范透明，注重绩效、强化监督”的原则及时分解下达中央、省级资金并足额配套地方资金，合理分配各项资金，资金使用规范，严格落实《安徽省城乡义务教育补助经费管理办法》规定的资金使用范围，不存在挪用或超标准使用情况，财务管理规范，会计核算符合规定，预算绩效执行良好，支出责任履行良好。</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eastAsia="zh-CN"/>
        </w:rPr>
        <w:t>（三）总体绩效目标完成情况分析。</w:t>
      </w:r>
      <w:r>
        <w:rPr>
          <w:rFonts w:hint="eastAsia" w:ascii="仿宋_GB2312" w:hAnsi="仿宋_GB2312" w:eastAsia="仿宋_GB2312" w:cs="仿宋_GB2312"/>
          <w:sz w:val="32"/>
          <w:szCs w:val="32"/>
        </w:rPr>
        <w:t>我市202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年度城乡义务教育补助经费用于公用经费、家庭经济困难学生生活补助、校舍维修和营养改善计划，资金执行总额</w:t>
      </w:r>
      <w:r>
        <w:rPr>
          <w:rFonts w:hint="eastAsia" w:ascii="仿宋_GB2312" w:hAnsi="仿宋_GB2312" w:eastAsia="仿宋_GB2312" w:cs="仿宋_GB2312"/>
          <w:sz w:val="32"/>
          <w:szCs w:val="32"/>
          <w:lang w:val="en-US" w:eastAsia="zh-CN"/>
        </w:rPr>
        <w:t>15423.13</w:t>
      </w:r>
      <w:r>
        <w:rPr>
          <w:rFonts w:hint="eastAsia" w:ascii="仿宋_GB2312" w:hAnsi="仿宋_GB2312" w:eastAsia="仿宋_GB2312" w:cs="仿宋_GB2312"/>
          <w:sz w:val="32"/>
          <w:szCs w:val="32"/>
        </w:rPr>
        <w:t>万元，已完成落实城乡统一、重在农村的义务教育经费保障机制和实施农村义务教育学生营养改善计划的城乡义务教育补助经费资金总体目标。</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b/>
          <w:bCs/>
          <w:sz w:val="32"/>
          <w:szCs w:val="32"/>
          <w:lang w:eastAsia="zh-CN"/>
        </w:rPr>
        <w:t>（四）绩效指标完成情况分析。</w:t>
      </w:r>
    </w:p>
    <w:p>
      <w:pPr>
        <w:spacing w:line="560" w:lineRule="exact"/>
        <w:ind w:firstLine="640" w:firstLineChars="200"/>
        <w:rPr>
          <w:rFonts w:ascii="Times New Roman" w:hAnsi="Times New Roman" w:eastAsia="仿宋" w:cs="Times New Roman"/>
          <w:sz w:val="32"/>
        </w:rPr>
      </w:pPr>
      <w:r>
        <w:rPr>
          <w:rFonts w:hint="eastAsia" w:ascii="Times New Roman" w:hAnsi="Times New Roman" w:eastAsia="仿宋" w:cs="Times New Roman"/>
          <w:sz w:val="32"/>
        </w:rPr>
        <w:t>（1）数量</w:t>
      </w:r>
      <w:r>
        <w:rPr>
          <w:rFonts w:ascii="Times New Roman" w:hAnsi="Times New Roman" w:eastAsia="仿宋" w:cs="Times New Roman"/>
          <w:sz w:val="32"/>
        </w:rPr>
        <w:t>指标：按不低于国家规定的标准</w:t>
      </w:r>
      <w:r>
        <w:rPr>
          <w:rFonts w:hint="eastAsia" w:ascii="Times New Roman" w:hAnsi="Times New Roman" w:eastAsia="仿宋" w:cs="Times New Roman"/>
          <w:sz w:val="32"/>
        </w:rPr>
        <w:t>安排</w:t>
      </w:r>
      <w:r>
        <w:rPr>
          <w:rFonts w:ascii="Times New Roman" w:hAnsi="Times New Roman" w:eastAsia="仿宋" w:cs="Times New Roman"/>
          <w:sz w:val="32"/>
        </w:rPr>
        <w:t>义务教育生均公用经费；</w:t>
      </w:r>
      <w:r>
        <w:rPr>
          <w:rFonts w:hint="eastAsia" w:ascii="Times New Roman" w:hAnsi="Times New Roman" w:eastAsia="仿宋" w:cs="Times New Roman"/>
          <w:sz w:val="32"/>
        </w:rPr>
        <w:t>享受</w:t>
      </w:r>
      <w:r>
        <w:rPr>
          <w:rFonts w:ascii="Times New Roman" w:hAnsi="Times New Roman" w:eastAsia="仿宋" w:cs="Times New Roman"/>
          <w:sz w:val="32"/>
        </w:rPr>
        <w:t>免费教科书政策的学生比例</w:t>
      </w:r>
      <w:r>
        <w:rPr>
          <w:rFonts w:hint="eastAsia" w:ascii="Times New Roman" w:hAnsi="Times New Roman" w:eastAsia="仿宋" w:cs="Times New Roman"/>
          <w:sz w:val="32"/>
        </w:rPr>
        <w:t>达100%；</w:t>
      </w:r>
      <w:r>
        <w:rPr>
          <w:rFonts w:ascii="Times New Roman" w:hAnsi="Times New Roman" w:eastAsia="仿宋" w:cs="Times New Roman"/>
          <w:sz w:val="32"/>
        </w:rPr>
        <w:t>家庭经济困难学生享受生活补助政策比例达</w:t>
      </w:r>
      <w:r>
        <w:rPr>
          <w:rFonts w:hint="eastAsia" w:ascii="Times New Roman" w:hAnsi="Times New Roman" w:eastAsia="仿宋" w:cs="Times New Roman"/>
          <w:sz w:val="32"/>
        </w:rPr>
        <w:t>100</w:t>
      </w:r>
      <w:r>
        <w:rPr>
          <w:rFonts w:ascii="Times New Roman" w:hAnsi="Times New Roman" w:eastAsia="仿宋" w:cs="Times New Roman"/>
          <w:sz w:val="32"/>
        </w:rPr>
        <w:t>%。</w:t>
      </w:r>
    </w:p>
    <w:p>
      <w:pPr>
        <w:spacing w:line="560" w:lineRule="exact"/>
        <w:ind w:firstLine="640" w:firstLineChars="200"/>
        <w:rPr>
          <w:rFonts w:ascii="Times New Roman" w:hAnsi="Times New Roman" w:eastAsia="仿宋" w:cs="Times New Roman"/>
          <w:sz w:val="32"/>
        </w:rPr>
      </w:pPr>
      <w:r>
        <w:rPr>
          <w:rFonts w:hint="eastAsia" w:ascii="Times New Roman" w:hAnsi="Times New Roman" w:eastAsia="仿宋" w:cs="Times New Roman"/>
          <w:sz w:val="32"/>
        </w:rPr>
        <w:t>（2）质量</w:t>
      </w:r>
      <w:r>
        <w:rPr>
          <w:rFonts w:ascii="Times New Roman" w:hAnsi="Times New Roman" w:eastAsia="仿宋" w:cs="Times New Roman"/>
          <w:sz w:val="32"/>
        </w:rPr>
        <w:t>指标：教科书质量合格率</w:t>
      </w:r>
      <w:r>
        <w:rPr>
          <w:rFonts w:hint="eastAsia" w:ascii="Times New Roman" w:hAnsi="Times New Roman" w:eastAsia="仿宋" w:cs="Times New Roman"/>
          <w:sz w:val="32"/>
        </w:rPr>
        <w:t>100</w:t>
      </w:r>
      <w:r>
        <w:rPr>
          <w:rFonts w:ascii="Times New Roman" w:hAnsi="Times New Roman" w:eastAsia="仿宋" w:cs="Times New Roman"/>
          <w:sz w:val="32"/>
        </w:rPr>
        <w:t>%</w:t>
      </w:r>
      <w:r>
        <w:rPr>
          <w:rFonts w:hint="eastAsia" w:ascii="Times New Roman" w:hAnsi="Times New Roman" w:eastAsia="仿宋" w:cs="Times New Roman"/>
          <w:sz w:val="32"/>
        </w:rPr>
        <w:t>；农村学校校舍日常维修改造质量达标率100</w:t>
      </w:r>
      <w:r>
        <w:rPr>
          <w:rFonts w:ascii="Times New Roman" w:hAnsi="Times New Roman" w:eastAsia="仿宋" w:cs="Times New Roman"/>
          <w:sz w:val="32"/>
        </w:rPr>
        <w:t>%；</w:t>
      </w:r>
      <w:r>
        <w:rPr>
          <w:rFonts w:hint="eastAsia" w:ascii="Times New Roman" w:hAnsi="Times New Roman" w:eastAsia="仿宋" w:cs="Times New Roman"/>
          <w:sz w:val="32"/>
        </w:rPr>
        <w:t>营养改善计划食品安全达标率100</w:t>
      </w:r>
      <w:r>
        <w:rPr>
          <w:rFonts w:ascii="Times New Roman" w:hAnsi="Times New Roman" w:eastAsia="仿宋" w:cs="Times New Roman"/>
          <w:sz w:val="32"/>
        </w:rPr>
        <w:t>%。</w:t>
      </w:r>
    </w:p>
    <w:p>
      <w:pPr>
        <w:spacing w:line="560" w:lineRule="exact"/>
        <w:ind w:firstLine="640" w:firstLineChars="200"/>
        <w:rPr>
          <w:rFonts w:hint="default" w:ascii="Times New Roman" w:hAnsi="Times New Roman" w:eastAsia="仿宋" w:cs="Times New Roman"/>
          <w:sz w:val="32"/>
          <w:lang w:val="en-US" w:eastAsia="zh-CN"/>
        </w:rPr>
      </w:pPr>
      <w:r>
        <w:rPr>
          <w:rFonts w:hint="eastAsia" w:ascii="Times New Roman" w:hAnsi="Times New Roman" w:eastAsia="仿宋" w:cs="Times New Roman"/>
          <w:sz w:val="32"/>
          <w:lang w:eastAsia="zh-CN"/>
        </w:rPr>
        <w:t>（</w:t>
      </w:r>
      <w:r>
        <w:rPr>
          <w:rFonts w:hint="eastAsia" w:ascii="Times New Roman" w:hAnsi="Times New Roman" w:eastAsia="仿宋" w:cs="Times New Roman"/>
          <w:sz w:val="32"/>
          <w:lang w:val="en-US" w:eastAsia="zh-CN"/>
        </w:rPr>
        <w:t>3）时效指标：资金拨付及时。</w:t>
      </w:r>
    </w:p>
    <w:p>
      <w:pPr>
        <w:spacing w:line="560" w:lineRule="exact"/>
        <w:ind w:firstLine="640" w:firstLineChars="200"/>
        <w:rPr>
          <w:rFonts w:ascii="Times New Roman" w:hAnsi="Times New Roman" w:eastAsia="仿宋" w:cs="Times New Roman"/>
          <w:sz w:val="32"/>
        </w:rPr>
      </w:pPr>
      <w:r>
        <w:rPr>
          <w:rFonts w:hint="eastAsia" w:ascii="Times New Roman" w:hAnsi="Times New Roman" w:eastAsia="仿宋" w:cs="Times New Roman"/>
          <w:sz w:val="32"/>
        </w:rPr>
        <w:t>（</w:t>
      </w:r>
      <w:r>
        <w:rPr>
          <w:rFonts w:hint="eastAsia" w:ascii="Times New Roman" w:hAnsi="Times New Roman" w:eastAsia="仿宋" w:cs="Times New Roman"/>
          <w:sz w:val="32"/>
          <w:lang w:val="en-US" w:eastAsia="zh-CN"/>
        </w:rPr>
        <w:t>4</w:t>
      </w:r>
      <w:r>
        <w:rPr>
          <w:rFonts w:hint="eastAsia" w:ascii="Times New Roman" w:hAnsi="Times New Roman" w:eastAsia="仿宋" w:cs="Times New Roman"/>
          <w:sz w:val="32"/>
        </w:rPr>
        <w:t>）成本</w:t>
      </w:r>
      <w:r>
        <w:rPr>
          <w:rFonts w:ascii="Times New Roman" w:hAnsi="Times New Roman" w:eastAsia="仿宋" w:cs="Times New Roman"/>
          <w:sz w:val="32"/>
        </w:rPr>
        <w:t>指标：</w:t>
      </w:r>
      <w:r>
        <w:rPr>
          <w:rFonts w:hint="eastAsia" w:ascii="Times New Roman" w:hAnsi="Times New Roman" w:eastAsia="仿宋" w:cs="Times New Roman"/>
          <w:sz w:val="32"/>
        </w:rPr>
        <w:t>营养膳食生均补助标准5元/天</w:t>
      </w:r>
      <w:r>
        <w:rPr>
          <w:rFonts w:ascii="Times New Roman" w:hAnsi="Times New Roman" w:eastAsia="仿宋" w:cs="Times New Roman"/>
          <w:sz w:val="32"/>
        </w:rPr>
        <w:t>。</w:t>
      </w:r>
    </w:p>
    <w:p>
      <w:pPr>
        <w:spacing w:line="560" w:lineRule="exact"/>
        <w:ind w:firstLine="640" w:firstLineChars="200"/>
        <w:rPr>
          <w:rFonts w:ascii="Times New Roman" w:hAnsi="Times New Roman" w:eastAsia="仿宋" w:cs="Times New Roman"/>
          <w:sz w:val="32"/>
        </w:rPr>
      </w:pPr>
      <w:r>
        <w:rPr>
          <w:rFonts w:hint="eastAsia" w:ascii="Times New Roman" w:hAnsi="Times New Roman" w:eastAsia="仿宋" w:cs="Times New Roman"/>
          <w:sz w:val="32"/>
        </w:rPr>
        <w:t>（</w:t>
      </w:r>
      <w:r>
        <w:rPr>
          <w:rFonts w:hint="eastAsia" w:ascii="Times New Roman" w:hAnsi="Times New Roman" w:eastAsia="仿宋" w:cs="Times New Roman"/>
          <w:sz w:val="32"/>
          <w:lang w:val="en-US" w:eastAsia="zh-CN"/>
        </w:rPr>
        <w:t>5</w:t>
      </w:r>
      <w:r>
        <w:rPr>
          <w:rFonts w:hint="eastAsia" w:ascii="Times New Roman" w:hAnsi="Times New Roman" w:eastAsia="仿宋" w:cs="Times New Roman"/>
          <w:sz w:val="32"/>
        </w:rPr>
        <w:t>）社会效益</w:t>
      </w:r>
      <w:r>
        <w:rPr>
          <w:rFonts w:ascii="Times New Roman" w:hAnsi="Times New Roman" w:eastAsia="仿宋" w:cs="Times New Roman"/>
          <w:sz w:val="32"/>
        </w:rPr>
        <w:t>指标：乡村教师队伍素质提升，</w:t>
      </w:r>
      <w:r>
        <w:rPr>
          <w:rFonts w:hint="eastAsia" w:ascii="Times New Roman" w:hAnsi="Times New Roman" w:eastAsia="仿宋" w:cs="Times New Roman"/>
          <w:sz w:val="32"/>
        </w:rPr>
        <w:t>营养改善计划地区学生身体素质提升</w:t>
      </w:r>
      <w:r>
        <w:rPr>
          <w:rFonts w:ascii="Times New Roman" w:hAnsi="Times New Roman" w:eastAsia="仿宋" w:cs="Times New Roman"/>
          <w:sz w:val="32"/>
        </w:rPr>
        <w:t>。</w:t>
      </w:r>
    </w:p>
    <w:p>
      <w:pPr>
        <w:spacing w:line="560" w:lineRule="exact"/>
        <w:ind w:firstLine="640" w:firstLineChars="200"/>
        <w:rPr>
          <w:rFonts w:ascii="Times New Roman" w:hAnsi="Times New Roman" w:eastAsia="仿宋" w:cs="Times New Roman"/>
          <w:sz w:val="32"/>
        </w:rPr>
      </w:pPr>
      <w:r>
        <w:rPr>
          <w:rFonts w:hint="eastAsia" w:ascii="Times New Roman" w:hAnsi="Times New Roman" w:eastAsia="仿宋" w:cs="Times New Roman"/>
          <w:sz w:val="32"/>
        </w:rPr>
        <w:t>（</w:t>
      </w:r>
      <w:r>
        <w:rPr>
          <w:rFonts w:hint="eastAsia" w:ascii="Times New Roman" w:hAnsi="Times New Roman" w:eastAsia="仿宋" w:cs="Times New Roman"/>
          <w:sz w:val="32"/>
          <w:lang w:val="en-US" w:eastAsia="zh-CN"/>
        </w:rPr>
        <w:t>6</w:t>
      </w:r>
      <w:r>
        <w:rPr>
          <w:rFonts w:hint="eastAsia" w:ascii="Times New Roman" w:hAnsi="Times New Roman" w:eastAsia="仿宋" w:cs="Times New Roman"/>
          <w:sz w:val="32"/>
        </w:rPr>
        <w:t>）服务</w:t>
      </w:r>
      <w:r>
        <w:rPr>
          <w:rFonts w:ascii="Times New Roman" w:hAnsi="Times New Roman" w:eastAsia="仿宋" w:cs="Times New Roman"/>
          <w:sz w:val="32"/>
        </w:rPr>
        <w:t>对象满意度指标：学校和老师</w:t>
      </w:r>
      <w:r>
        <w:rPr>
          <w:rFonts w:hint="eastAsia" w:ascii="Times New Roman" w:hAnsi="Times New Roman" w:eastAsia="仿宋" w:cs="Times New Roman"/>
          <w:sz w:val="32"/>
        </w:rPr>
        <w:t>满意度</w:t>
      </w:r>
      <w:r>
        <w:rPr>
          <w:rFonts w:ascii="Times New Roman" w:hAnsi="Times New Roman" w:eastAsia="仿宋" w:cs="Times New Roman"/>
          <w:sz w:val="32"/>
        </w:rPr>
        <w:t>达</w:t>
      </w:r>
      <w:r>
        <w:rPr>
          <w:rFonts w:hint="eastAsia" w:ascii="Times New Roman" w:hAnsi="Times New Roman" w:eastAsia="仿宋" w:cs="Times New Roman"/>
          <w:sz w:val="32"/>
          <w:lang w:val="en-US" w:eastAsia="zh-CN"/>
        </w:rPr>
        <w:t>95</w:t>
      </w:r>
      <w:r>
        <w:rPr>
          <w:rFonts w:ascii="Times New Roman" w:hAnsi="Times New Roman" w:eastAsia="仿宋" w:cs="Times New Roman"/>
          <w:sz w:val="32"/>
        </w:rPr>
        <w:t>%，</w:t>
      </w:r>
      <w:r>
        <w:rPr>
          <w:rFonts w:hint="eastAsia" w:ascii="Times New Roman" w:hAnsi="Times New Roman" w:eastAsia="仿宋" w:cs="Times New Roman"/>
          <w:sz w:val="32"/>
        </w:rPr>
        <w:t>家长和</w:t>
      </w:r>
      <w:r>
        <w:rPr>
          <w:rFonts w:ascii="Times New Roman" w:hAnsi="Times New Roman" w:eastAsia="仿宋" w:cs="Times New Roman"/>
          <w:sz w:val="32"/>
        </w:rPr>
        <w:t>学生</w:t>
      </w:r>
      <w:r>
        <w:rPr>
          <w:rFonts w:hint="eastAsia" w:ascii="Times New Roman" w:hAnsi="Times New Roman" w:eastAsia="仿宋" w:cs="Times New Roman"/>
          <w:sz w:val="32"/>
        </w:rPr>
        <w:t>满意度</w:t>
      </w:r>
      <w:r>
        <w:rPr>
          <w:rFonts w:ascii="Times New Roman" w:hAnsi="Times New Roman" w:eastAsia="仿宋" w:cs="Times New Roman"/>
          <w:sz w:val="32"/>
        </w:rPr>
        <w:t>达</w:t>
      </w:r>
      <w:r>
        <w:rPr>
          <w:rFonts w:hint="eastAsia" w:ascii="Times New Roman" w:hAnsi="Times New Roman" w:eastAsia="仿宋" w:cs="Times New Roman"/>
          <w:sz w:val="32"/>
          <w:lang w:val="en-US" w:eastAsia="zh-CN"/>
        </w:rPr>
        <w:t>95</w:t>
      </w:r>
      <w:r>
        <w:rPr>
          <w:rFonts w:ascii="Times New Roman" w:hAnsi="Times New Roman" w:eastAsia="仿宋" w:cs="Times New Roman"/>
          <w:sz w:val="32"/>
        </w:rPr>
        <w:t>%</w:t>
      </w:r>
      <w:r>
        <w:rPr>
          <w:rFonts w:hint="eastAsia" w:ascii="Times New Roman" w:hAnsi="Times New Roman" w:eastAsia="仿宋" w:cs="Times New Roman"/>
          <w:sz w:val="32"/>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市严格落实《安徽省城乡义务教育补助经费管理办法》有关规定，资金使用合理规范，按未偏离绩效目标。下一步我市将继续强化城乡义务教育补助经费的使用管理，严格预算执行，按照规定流程落实国家资助政策，加大项目资金的监管及统筹力度，进一步提高资金使用效益，确保完成绩效目标。</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绩效自评结果拟应用和公开情况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项目绩效自评结果将作为以后项目资金安排的参考依据之一。根据《黄山市财政局关于开展2024年度中央对地方转移支付预算执行情况绩效自评工作的通知》要求，于4月20日前在我局门户网站公开。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六、附件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城乡义务教育补助经费转移支付区域（项目）绩效目标</w:t>
      </w:r>
      <w:bookmarkStart w:id="1" w:name="_GoBack"/>
      <w:bookmarkEnd w:id="1"/>
      <w:r>
        <w:rPr>
          <w:rFonts w:hint="eastAsia" w:ascii="仿宋_GB2312" w:hAnsi="仿宋_GB2312" w:eastAsia="仿宋_GB2312" w:cs="仿宋_GB2312"/>
          <w:sz w:val="32"/>
          <w:szCs w:val="32"/>
        </w:rPr>
        <w:t xml:space="preserve">自评表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p>
    <w:p>
      <w:pPr>
        <w:spacing w:line="54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p>
    <w:p>
      <w:pPr>
        <w:spacing w:line="540" w:lineRule="exact"/>
        <w:ind w:firstLine="1600" w:firstLineChars="500"/>
        <w:rPr>
          <w:rFonts w:ascii="仿宋_GB2312" w:hAnsi="仿宋_GB2312" w:eastAsia="仿宋_GB2312" w:cs="仿宋_GB2312"/>
          <w:sz w:val="32"/>
          <w:szCs w:val="32"/>
        </w:rPr>
      </w:pPr>
      <w:r>
        <w:rPr>
          <w:rFonts w:hint="eastAsia" w:ascii="仿宋_GB2312" w:hAnsi="仿宋_GB2312" w:eastAsia="仿宋_GB2312" w:cs="仿宋_GB2312"/>
          <w:sz w:val="32"/>
          <w:szCs w:val="32"/>
        </w:rPr>
        <w:t>黄</w:t>
      </w:r>
      <w:r>
        <w:rPr>
          <w:rFonts w:ascii="仿宋_GB2312" w:hAnsi="仿宋_GB2312" w:eastAsia="仿宋_GB2312" w:cs="仿宋_GB2312"/>
          <w:sz w:val="32"/>
          <w:szCs w:val="32"/>
        </w:rPr>
        <w:t>山市教育局</w:t>
      </w:r>
      <w:r>
        <w:rPr>
          <w:rFonts w:hint="eastAsia" w:ascii="仿宋_GB2312" w:hAnsi="仿宋_GB2312" w:eastAsia="仿宋_GB2312" w:cs="仿宋_GB2312"/>
          <w:sz w:val="32"/>
          <w:szCs w:val="32"/>
        </w:rPr>
        <w:t xml:space="preserve">              黄</w:t>
      </w:r>
      <w:r>
        <w:rPr>
          <w:rFonts w:ascii="仿宋_GB2312" w:hAnsi="仿宋_GB2312" w:eastAsia="仿宋_GB2312" w:cs="仿宋_GB2312"/>
          <w:sz w:val="32"/>
          <w:szCs w:val="32"/>
        </w:rPr>
        <w:t>山市财政局</w:t>
      </w:r>
    </w:p>
    <w:p>
      <w:pPr>
        <w:spacing w:line="54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年3月</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21330C"/>
    <w:multiLevelType w:val="singleLevel"/>
    <w:tmpl w:val="6921330C"/>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4ODc3OGE2ODBhMzQ1ZDA5NTI1MWJjNmE5NzgyODcifQ=="/>
    <w:docVar w:name="KSO_WPS_MARK_KEY" w:val="1624a9ea-3821-4f9b-91eb-241a95b4784b"/>
  </w:docVars>
  <w:rsids>
    <w:rsidRoot w:val="00000000"/>
    <w:rsid w:val="01A76078"/>
    <w:rsid w:val="083038EB"/>
    <w:rsid w:val="1F8038FE"/>
    <w:rsid w:val="290A0F40"/>
    <w:rsid w:val="2CE973DA"/>
    <w:rsid w:val="2F660D46"/>
    <w:rsid w:val="349213D0"/>
    <w:rsid w:val="3B576FD4"/>
    <w:rsid w:val="3FCC76E3"/>
    <w:rsid w:val="3FD312C1"/>
    <w:rsid w:val="4877669D"/>
    <w:rsid w:val="50447FC0"/>
    <w:rsid w:val="53A56FC8"/>
    <w:rsid w:val="59751926"/>
    <w:rsid w:val="667C16E2"/>
    <w:rsid w:val="6E675F94"/>
    <w:rsid w:val="74913239"/>
    <w:rsid w:val="75504AD8"/>
    <w:rsid w:val="7756518C"/>
    <w:rsid w:val="7B847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1350</Words>
  <Characters>1484</Characters>
  <Lines>0</Lines>
  <Paragraphs>0</Paragraphs>
  <TotalTime>0</TotalTime>
  <ScaleCrop>false</ScaleCrop>
  <LinksUpToDate>false</LinksUpToDate>
  <CharactersWithSpaces>1531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2025-03-26T03:07:31Z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9C491AE83A404D9EB45F72BCF8C8C51C</vt:lpwstr>
  </property>
  <property fmtid="{D5CDD505-2E9C-101B-9397-08002B2CF9AE}" pid="4" name="KSOTemplateDocerSaveRecord">
    <vt:lpwstr>eyJoZGlkIjoiYTUzMmRiZDY2OTYwM2M5MTJkOWNhNDk1YjA5MDU1YjkifQ==</vt:lpwstr>
  </property>
</Properties>
</file>